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60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</w:p>
    <w:p>
      <w:pPr>
        <w:overflowPunct w:val="0"/>
        <w:topLinePunct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三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轮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省级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生态环境保护督察第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九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整改任务完成情况表</w:t>
      </w:r>
    </w:p>
    <w:bookmarkEnd w:id="0"/>
    <w:tbl>
      <w:tblPr>
        <w:tblStyle w:val="7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2716"/>
        <w:gridCol w:w="6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923" w:hRule="atLeast"/>
          <w:jc w:val="center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  <w:t>整改任务</w:t>
            </w:r>
          </w:p>
        </w:tc>
        <w:tc>
          <w:tcPr>
            <w:tcW w:w="6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line="50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德阳市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省级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生态环境保护督察整改实施方案》第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反馈内容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扬尘污染管控不到位。第二轮省级生态环境保护督察指出德阳市道路、建筑工地等扬尘管控工作不力。督察发现，德阳市道路、建筑工地、砂石商砼等领域扬尘污染问题依然突出。抽查全市38个相关项目及企业，33个存在堆场盖覆盖不严、工程车辆清洗不及时、喷淋设施未使用、场内道路未硬化等扬尘治理措施不到位问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840" w:hRule="atLeast"/>
          <w:jc w:val="center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  <w:t>整改责任单位</w:t>
            </w:r>
          </w:p>
        </w:tc>
        <w:tc>
          <w:tcPr>
            <w:tcW w:w="6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line="50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0"/>
                <w:sz w:val="36"/>
                <w:szCs w:val="36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市住建局、市城管执法局、市交通局、市生态环境局、市委政法委（市砂整办），各区（市、县）党委、政府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658" w:hRule="atLeast"/>
          <w:jc w:val="center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  <w:t>整改目标</w:t>
            </w:r>
          </w:p>
        </w:tc>
        <w:tc>
          <w:tcPr>
            <w:tcW w:w="6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line="50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全面加强扬尘管控，切实解决企业不规范管理及道路、建筑工地、砂石商砼等领域扬尘污染突出问题。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736" w:hRule="atLeast"/>
          <w:jc w:val="center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  <w:t>整改措施</w:t>
            </w:r>
          </w:p>
        </w:tc>
        <w:tc>
          <w:tcPr>
            <w:tcW w:w="6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1.2023年9月底前，完成督察抽查发现的33个项目及企业扬尘治理措施不到位问题整改。</w:t>
            </w:r>
          </w:p>
          <w:p>
            <w:pPr>
              <w:overflowPunct w:val="0"/>
              <w:topLinePunct/>
              <w:spacing w:line="50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2.2023年9月底前，开展道路、建筑工地、砂石、商</w:t>
            </w:r>
            <w:r>
              <w:rPr>
                <w:rFonts w:hint="eastAsia" w:ascii="仿宋_GB2312" w:eastAsia="仿宋_GB2312"/>
                <w:sz w:val="28"/>
                <w:szCs w:val="28"/>
              </w:rPr>
              <w:t>砼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等领域扬尘污染专项整治。指导督促建设单位、施工单位严格执行“六必须、六不准”“六个百分百”要求。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418" w:hRule="atLeast"/>
          <w:jc w:val="center"/>
        </w:trPr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  <w:t>整改主要工作</w:t>
            </w:r>
          </w:p>
          <w:p>
            <w:pPr>
              <w:overflowPunct w:val="0"/>
              <w:topLinePunct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  <w:t>及成效</w:t>
            </w:r>
          </w:p>
        </w:tc>
        <w:tc>
          <w:tcPr>
            <w:tcW w:w="6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line="600" w:lineRule="exact"/>
              <w:jc w:val="left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1.8个砂石企业已完成通报扬尘整治，25个施工工地通报问题已整改完成，持续关注砂石企业和在建施工工地扬尘污染防控工作。</w:t>
            </w:r>
          </w:p>
          <w:p>
            <w:pPr>
              <w:overflowPunct w:val="0"/>
              <w:topLinePunct/>
              <w:spacing w:line="600" w:lineRule="exact"/>
              <w:jc w:val="left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2（1）已结合建筑工地扬尘治理日常监管，严格按照《德阳市建筑工地扬尘污染防治专项攻坚行动方案》开展扬尘治理专项整治工作，持续加大指导，督促各方责任主体认真履职，认真落实“六必须、六不准”“六个百分百”的工作力度。</w:t>
            </w:r>
          </w:p>
          <w:p>
            <w:pPr>
              <w:numPr>
                <w:ilvl w:val="0"/>
                <w:numId w:val="0"/>
              </w:numPr>
              <w:overflowPunct w:val="0"/>
              <w:topLinePunct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（2）旌阳区、经开区十三家商混站全部达到绿色环保搅拌站验收，其中两家通过四川省重污染绩效引领性企业，两区的商混站运输车辆达到国五标准的车辆156辆。                                                     （3）组织市公安、自规、环保、住建、城管、交通、水利、国资委会同各地砂整办开展砂石行业大气污染专项整治行动，督促砂石加工企业严格落实扬尘治理措施。                                                （4）市交通局对我市在建公路工程项目开展了环境保护监督检查工作。督促各项目公司制定、落实相关应急预案和台账，严格按照公路工程建设项目“六必须、六不准”进行作业。</w:t>
            </w:r>
          </w:p>
        </w:tc>
      </w:tr>
    </w:tbl>
    <w:p>
      <w:pPr>
        <w:pStyle w:val="4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4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4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信息公开选项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：依申请公开</w:t>
      </w:r>
    </w:p>
    <w:sectPr>
      <w:footerReference r:id="rId3" w:type="default"/>
      <w:pgSz w:w="11906" w:h="16838"/>
      <w:pgMar w:top="1440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YmUwY2M5MjI3YWU4YmM0ZGFmMGVhNjY4N2QyNjUifQ=="/>
  </w:docVars>
  <w:rsids>
    <w:rsidRoot w:val="FA9904C0"/>
    <w:rsid w:val="0F2132CB"/>
    <w:rsid w:val="1E7F584A"/>
    <w:rsid w:val="3FFFFA22"/>
    <w:rsid w:val="4BF782CC"/>
    <w:rsid w:val="50144BEA"/>
    <w:rsid w:val="527E6CE5"/>
    <w:rsid w:val="5BCB781C"/>
    <w:rsid w:val="5BDDDF90"/>
    <w:rsid w:val="5DF78017"/>
    <w:rsid w:val="7BEB7317"/>
    <w:rsid w:val="7D026164"/>
    <w:rsid w:val="7FFF0960"/>
    <w:rsid w:val="EAFAE497"/>
    <w:rsid w:val="FA6ED6FB"/>
    <w:rsid w:val="FA9904C0"/>
    <w:rsid w:val="FABE0D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Times New Roman" w:hAnsi="Times New Roman" w:cs="宋体"/>
      <w:color w:val="000000"/>
      <w:kern w:val="0"/>
      <w:sz w:val="24"/>
    </w:rPr>
  </w:style>
  <w:style w:type="paragraph" w:styleId="3">
    <w:name w:val="index 8"/>
    <w:basedOn w:val="1"/>
    <w:next w:val="1"/>
    <w:semiHidden/>
    <w:qFormat/>
    <w:uiPriority w:val="99"/>
    <w:pPr>
      <w:ind w:left="2940"/>
    </w:pPr>
  </w:style>
  <w:style w:type="paragraph" w:styleId="4">
    <w:name w:val="Salutation"/>
    <w:basedOn w:val="1"/>
    <w:next w:val="1"/>
    <w:qFormat/>
    <w:uiPriority w:val="99"/>
    <w:rPr>
      <w:rFonts w:ascii="Calibri" w:hAnsi="Calibri" w:eastAsia="宋体" w:cs="黑体"/>
    </w:rPr>
  </w:style>
  <w:style w:type="paragraph" w:styleId="5">
    <w:name w:val="Body Text"/>
    <w:basedOn w:val="1"/>
    <w:next w:val="3"/>
    <w:qFormat/>
    <w:uiPriority w:val="0"/>
    <w:pPr>
      <w:widowControl/>
      <w:spacing w:line="360" w:lineRule="auto"/>
      <w:jc w:val="left"/>
    </w:pPr>
    <w:rPr>
      <w:rFonts w:ascii="Calibri" w:hAnsi="Calibri" w:eastAsia="宋体" w:cs="Times New Roman"/>
      <w:color w:val="000000"/>
      <w:kern w:val="0"/>
      <w:sz w:val="24"/>
      <w:szCs w:val="24"/>
      <w:lang w:eastAsia="en-US" w:bidi="en-US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641</Words>
  <Characters>688</Characters>
  <Lines>0</Lines>
  <Paragraphs>0</Paragraphs>
  <TotalTime>0</TotalTime>
  <ScaleCrop>false</ScaleCrop>
  <LinksUpToDate>false</LinksUpToDate>
  <CharactersWithSpaces>688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2024-05-12T00:45:00Z</dcterms:created>
  <dc:creator>鱼塘雨天จุ๊บ</dc:creator>
  <cp:lastModifiedBy>九思</cp:lastModifiedBy>
  <dcterms:modified xsi:type="dcterms:W3CDTF">2025-02-07T03:20:02Z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F601EDAC5867431EB9FB13FB37934D1D_13</vt:lpwstr>
  </property>
</Properties>
</file>